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550D8" w14:textId="77777777" w:rsidR="00E968D9" w:rsidRDefault="00934F4B">
      <w:pPr>
        <w:pStyle w:val="Textoindependiente"/>
        <w:spacing w:after="159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position w:val="7"/>
          <w:sz w:val="24"/>
          <w:szCs w:val="24"/>
        </w:rPr>
        <w:t>Carta abierta al SAG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21 de octubre de 2020</w:t>
      </w:r>
    </w:p>
    <w:p w14:paraId="4F9B38F2" w14:textId="77777777" w:rsidR="00E968D9" w:rsidRDefault="00934F4B">
      <w:pPr>
        <w:pStyle w:val="Textoindependiente"/>
        <w:spacing w:after="0" w:line="24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Sr. Horacio Bórquez Conti</w:t>
      </w:r>
    </w:p>
    <w:p w14:paraId="10E48AE3" w14:textId="77777777" w:rsidR="00E968D9" w:rsidRDefault="00934F4B">
      <w:pPr>
        <w:pStyle w:val="Textoindependiente"/>
        <w:spacing w:after="0" w:line="24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Director Nacional del Servicio Agrícola y Ganadero, SAG</w:t>
      </w:r>
    </w:p>
    <w:p w14:paraId="2AB0DA51" w14:textId="77777777" w:rsidR="00E968D9" w:rsidRDefault="00934F4B">
      <w:pPr>
        <w:pStyle w:val="Textoindependiente"/>
        <w:spacing w:after="0" w:line="24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CC: Dr. Enrique Paris Mancilla</w:t>
      </w:r>
    </w:p>
    <w:p w14:paraId="5DB42393" w14:textId="77777777" w:rsidR="00E968D9" w:rsidRDefault="00934F4B">
      <w:pPr>
        <w:pStyle w:val="Textoindependiente"/>
        <w:spacing w:after="0" w:line="24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Ministro de Salud</w:t>
      </w:r>
    </w:p>
    <w:p w14:paraId="62C5A98C" w14:textId="77777777" w:rsidR="00E968D9" w:rsidRDefault="00934F4B">
      <w:pPr>
        <w:pStyle w:val="Textoindependiente"/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</w:rPr>
        <w:t>Ref</w:t>
      </w:r>
      <w:proofErr w:type="spellEnd"/>
      <w:r>
        <w:rPr>
          <w:rFonts w:ascii="Times New Roman" w:hAnsi="Times New Roman"/>
          <w:b/>
          <w:bCs/>
        </w:rPr>
        <w:t>: Solicita registro de incidentes en el ambiente por plaguicidas</w:t>
      </w:r>
    </w:p>
    <w:p w14:paraId="54065652" w14:textId="77777777" w:rsidR="00E968D9" w:rsidRDefault="00934F4B">
      <w:pPr>
        <w:pStyle w:val="Textoindependiente"/>
        <w:spacing w:after="159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22A684D" w14:textId="77777777" w:rsidR="00E968D9" w:rsidRDefault="00934F4B">
      <w:pPr>
        <w:pStyle w:val="Textoindependiente"/>
        <w:spacing w:after="159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Organizaciones ambientales, sociales y grupos de interés de la sociedad civil exigen mecanismos expeditos para notificación de incidentes en el ambiente por plaguicidas</w:t>
      </w:r>
      <w:bookmarkStart w:id="0" w:name="_Hlk54095083"/>
      <w:bookmarkEnd w:id="0"/>
    </w:p>
    <w:p w14:paraId="7FF003A6" w14:textId="77777777" w:rsidR="00E968D9" w:rsidRDefault="00934F4B">
      <w:pPr>
        <w:pStyle w:val="Textoindependiente"/>
        <w:spacing w:after="159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 poco probable que algún territorio, comunidad, hábitat, organismo o personas de nuestro país esté libre de los impactos negativos de los plaguicidas usados en el sector agrícola, forestal, doméstico y sanitario. Se ha contaminado con plaguicidas el amb</w:t>
      </w:r>
      <w:r>
        <w:rPr>
          <w:rFonts w:ascii="Times New Roman" w:hAnsi="Times New Roman"/>
          <w:sz w:val="24"/>
          <w:szCs w:val="24"/>
        </w:rPr>
        <w:t>iente -aire, suelos y aguas- causando profundos desequilibrios en los ecosistemas, graves impactos en la biodiversidad, deforestación y pérdida de la fertilidad de los suelos, y no obstante no existen modos de evidenciar, sistematizar, cuantificar, preveni</w:t>
      </w:r>
      <w:r>
        <w:rPr>
          <w:rFonts w:ascii="Times New Roman" w:hAnsi="Times New Roman"/>
          <w:sz w:val="24"/>
          <w:szCs w:val="24"/>
        </w:rPr>
        <w:t xml:space="preserve">r y reparar estos daños. </w:t>
      </w:r>
    </w:p>
    <w:p w14:paraId="35C8E18E" w14:textId="77777777" w:rsidR="00E968D9" w:rsidRDefault="00934F4B">
      <w:pPr>
        <w:pStyle w:val="Textoindependiente"/>
        <w:spacing w:after="159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Esto, en circunstancias que las denuncias por muerte de animales domésticos, salvajes y de corral, abejas y polinizadores, por plaguicidas se han multiplicado en los últimos años. En 2013 se informó el caso de envenenamiento por p</w:t>
      </w:r>
      <w:r>
        <w:rPr>
          <w:rFonts w:ascii="Times New Roman" w:hAnsi="Times New Roman"/>
          <w:sz w:val="24"/>
          <w:szCs w:val="24"/>
        </w:rPr>
        <w:t>laguicidas de al menos 20 cóndores, ganado, zorros y puma en una región de los Andes chilenos. Recientemente, el 2 de julio de 2020 se informó del hallazgo de cinco ejemplares de aves silvestres muertas en un predio cordillerano intoxicadas por plaguicidas</w:t>
      </w:r>
      <w:r>
        <w:rPr>
          <w:rFonts w:ascii="Times New Roman" w:hAnsi="Times New Roman"/>
          <w:sz w:val="24"/>
          <w:szCs w:val="24"/>
        </w:rPr>
        <w:t xml:space="preserve">. Alrededor de un animal envenenado estaban muertos un cóndor, tres ejemplares de carancho cordillerano y un tiuque, todas especies protegidas, de alto valor para el equilibrio de los ecosistemas. </w:t>
      </w:r>
    </w:p>
    <w:p w14:paraId="7681CDF0" w14:textId="77777777" w:rsidR="00E968D9" w:rsidRDefault="00934F4B">
      <w:pPr>
        <w:pStyle w:val="Textoindependiente"/>
        <w:spacing w:after="159" w:line="259" w:lineRule="auto"/>
        <w:jc w:val="both"/>
      </w:pPr>
      <w:r>
        <w:rPr>
          <w:rFonts w:ascii="Times New Roman" w:hAnsi="Times New Roman"/>
          <w:sz w:val="24"/>
          <w:szCs w:val="24"/>
        </w:rPr>
        <w:t xml:space="preserve">Esto es más grave aún si se considera que nuestro país ha </w:t>
      </w:r>
      <w:r>
        <w:rPr>
          <w:rFonts w:ascii="Times New Roman" w:hAnsi="Times New Roman"/>
          <w:sz w:val="24"/>
          <w:szCs w:val="24"/>
        </w:rPr>
        <w:t>elaborado legislación y suscritos convenios que obligan a registrar y notificar estos incidentes. El Ministerio de Salud, a través de epidemiología de la REVEP, tiene un sistema de notificación obligatoria, desde que se promulgó el decreto 88/2004. Con rel</w:t>
      </w:r>
      <w:r>
        <w:rPr>
          <w:rFonts w:ascii="Times New Roman" w:hAnsi="Times New Roman"/>
          <w:sz w:val="24"/>
          <w:szCs w:val="24"/>
        </w:rPr>
        <w:t xml:space="preserve">ación a los incidentes en el ambiente, el </w:t>
      </w:r>
      <w:r>
        <w:rPr>
          <w:rStyle w:val="Muydestacado"/>
          <w:rFonts w:ascii="Times New Roman" w:hAnsi="Times New Roman"/>
          <w:b w:val="0"/>
          <w:bCs w:val="0"/>
          <w:sz w:val="24"/>
          <w:szCs w:val="24"/>
        </w:rPr>
        <w:t xml:space="preserve">Decreto 158 sobre aplicaciones terrestres de plaguicidas </w:t>
      </w:r>
      <w:r>
        <w:rPr>
          <w:rFonts w:ascii="Times New Roman" w:hAnsi="Times New Roman"/>
          <w:sz w:val="24"/>
          <w:szCs w:val="24"/>
        </w:rPr>
        <w:t xml:space="preserve">señala expresamente en el artículo 12, que el afectado o denunciante de un incidente en el ambiente se debe dirigir a la, “Dirección y número telefónico del </w:t>
      </w:r>
      <w:r>
        <w:rPr>
          <w:rFonts w:ascii="Times New Roman" w:hAnsi="Times New Roman"/>
          <w:sz w:val="24"/>
          <w:szCs w:val="24"/>
        </w:rPr>
        <w:t>SAG para la denuncia de problemas derivados de la aplicación de plaguicidas sobre animales domésticos, cultivos o especies vegetales o fauna autóctona del lugar”, sin embargo no hay disponible ningún sistema en línea que facilite la tramitación y permita h</w:t>
      </w:r>
      <w:r>
        <w:rPr>
          <w:rFonts w:ascii="Times New Roman" w:hAnsi="Times New Roman"/>
          <w:sz w:val="24"/>
          <w:szCs w:val="24"/>
        </w:rPr>
        <w:t xml:space="preserve">acer seguimiento de la denuncia. </w:t>
      </w:r>
    </w:p>
    <w:p w14:paraId="6CC669B8" w14:textId="77777777" w:rsidR="00E968D9" w:rsidRDefault="00934F4B">
      <w:pPr>
        <w:pStyle w:val="Textoindependiente"/>
        <w:spacing w:after="159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el año 2010 Chile ingresó a la Organización para la Cooperación y el Desarrollo Económico (OCDE), adquiriendo entre otros compromisos, el de cumplir con los estándares OCDE sobre protección ambiental, animal y de políti</w:t>
      </w:r>
      <w:r>
        <w:rPr>
          <w:rFonts w:ascii="Times New Roman" w:hAnsi="Times New Roman"/>
          <w:sz w:val="24"/>
          <w:szCs w:val="24"/>
        </w:rPr>
        <w:t xml:space="preserve">cas de seguridad química. No contar con un sistema de fácil acceso para el registro de estas denuncias, contraviene estos compromisos. </w:t>
      </w:r>
    </w:p>
    <w:p w14:paraId="12D2A9AA" w14:textId="77777777" w:rsidR="00E968D9" w:rsidRDefault="00934F4B">
      <w:pPr>
        <w:pStyle w:val="Textoindependiente"/>
        <w:spacing w:after="159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 otra parte, el Código de Conducta de la FAO que Chile reconoce como el instrumento orientador en relación con plagui</w:t>
      </w:r>
      <w:r>
        <w:rPr>
          <w:rFonts w:ascii="Times New Roman" w:hAnsi="Times New Roman"/>
          <w:sz w:val="24"/>
          <w:szCs w:val="24"/>
        </w:rPr>
        <w:t>cidas, insta a todas las entidades públicas, en el artículo 5.5.2, a tomar todas las precauciones necesarias para proteger a los trabajadores, otras personas presentes, las comunidades circundantes y el ambiente. Asimismo, en el artículo 5.1.5, se recomien</w:t>
      </w:r>
      <w:r>
        <w:rPr>
          <w:rFonts w:ascii="Times New Roman" w:hAnsi="Times New Roman"/>
          <w:sz w:val="24"/>
          <w:szCs w:val="24"/>
        </w:rPr>
        <w:t xml:space="preserve">da establecer en lugares estratégicos centros nacionales o regionales de información y control para casos de envenenamiento, a fin </w:t>
      </w:r>
      <w:r>
        <w:rPr>
          <w:rFonts w:ascii="Times New Roman" w:hAnsi="Times New Roman"/>
          <w:sz w:val="24"/>
          <w:szCs w:val="24"/>
        </w:rPr>
        <w:lastRenderedPageBreak/>
        <w:t>de que puedan dar orientaciones inmediatas sobre primeros auxilios y tratamiento médico, y resulten accesibles en todo moment</w:t>
      </w:r>
      <w:r>
        <w:rPr>
          <w:rFonts w:ascii="Times New Roman" w:hAnsi="Times New Roman"/>
          <w:sz w:val="24"/>
          <w:szCs w:val="24"/>
        </w:rPr>
        <w:t xml:space="preserve">o. </w:t>
      </w:r>
    </w:p>
    <w:p w14:paraId="36C38EF0" w14:textId="77777777" w:rsidR="00E968D9" w:rsidRDefault="00934F4B">
      <w:pPr>
        <w:pStyle w:val="Textoindependiente"/>
        <w:spacing w:after="159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artículo 5.1.6, confiere al SAG el rol de regulador, utilizando todos los medios posibles para recoger datos fiables y mantener estadísticas sobre los aspectos sanitarios de los plaguicidas y los incidentes en el ambiente, con objeto de establecer u</w:t>
      </w:r>
      <w:r>
        <w:rPr>
          <w:rFonts w:ascii="Times New Roman" w:hAnsi="Times New Roman"/>
          <w:sz w:val="24"/>
          <w:szCs w:val="24"/>
        </w:rPr>
        <w:t>n sistema armonizado con el de la OMS para la identificación y el registro de esos datos (25).</w:t>
      </w:r>
    </w:p>
    <w:p w14:paraId="074F5F2A" w14:textId="77777777" w:rsidR="00E968D9" w:rsidRDefault="00934F4B">
      <w:pPr>
        <w:pStyle w:val="Textoindependiente"/>
        <w:spacing w:after="159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el artículo 5.1.9 se insta a los gobiernos a utilizar todos los medios posibles para recoger datos fiables, mantener estadísticas sobre la contaminación ambie</w:t>
      </w:r>
      <w:r>
        <w:rPr>
          <w:rFonts w:ascii="Times New Roman" w:hAnsi="Times New Roman"/>
          <w:sz w:val="24"/>
          <w:szCs w:val="24"/>
        </w:rPr>
        <w:t>ntal y notificar los incidentes específicos relacionados con plaguicidas. En el artículo 5.1.10 se llama a los gobiernos a “implementar un programa de vigilancia de los residuos de plaguicidas presentes en los alimentos y en el ambiente. Por AMBIENTE, el C</w:t>
      </w:r>
      <w:r>
        <w:rPr>
          <w:rFonts w:ascii="Times New Roman" w:hAnsi="Times New Roman"/>
          <w:sz w:val="24"/>
          <w:szCs w:val="24"/>
        </w:rPr>
        <w:t>ódigo de Conducta de la FAO considera al “el entorno, incluyendo el agua, el aire y el suelo, y su interrelación, así como las relaciones entre estos elementos y cualesquiera organismos vivos”.</w:t>
      </w:r>
    </w:p>
    <w:p w14:paraId="0B0276CC" w14:textId="77777777" w:rsidR="00E968D9" w:rsidRDefault="00934F4B">
      <w:pPr>
        <w:pStyle w:val="Textoindependiente"/>
        <w:spacing w:after="159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Asimismo, el Sistema Global Armonizado (SGA) al que Chile está</w:t>
      </w:r>
      <w:r>
        <w:rPr>
          <w:rFonts w:ascii="Times New Roman" w:hAnsi="Times New Roman"/>
          <w:sz w:val="24"/>
          <w:szCs w:val="24"/>
        </w:rPr>
        <w:t xml:space="preserve"> adscrito, también clasifica los efectos tóxicos de los plaguicidas de acuerdo con los incidentes reportados en el ambiente y estudios científicos.</w:t>
      </w:r>
    </w:p>
    <w:p w14:paraId="78942DD9" w14:textId="77777777" w:rsidR="00E968D9" w:rsidRDefault="00934F4B">
      <w:pPr>
        <w:pStyle w:val="Textoindependiente"/>
        <w:spacing w:after="159" w:line="259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Por otra parte, el Convenio de Rotterdam para la aplicación del procedimiento de consentimiento fundamentado</w:t>
      </w:r>
      <w:r>
        <w:rPr>
          <w:rFonts w:ascii="Times New Roman" w:hAnsi="Times New Roman"/>
          <w:color w:val="000000"/>
          <w:sz w:val="24"/>
          <w:szCs w:val="24"/>
        </w:rPr>
        <w:t xml:space="preserve"> previo, aplicable a ciertos plaguicidas y productos químicos peligrosos objeto de comercio internacional, firmado en 1998 y ratificado por Chile en 2005, establece obligaciones relacionadas con el reporte de incidentes en el ambiente. </w:t>
      </w:r>
      <w:r>
        <w:rPr>
          <w:rFonts w:ascii="Times New Roman" w:hAnsi="Times New Roman"/>
          <w:sz w:val="24"/>
          <w:szCs w:val="24"/>
        </w:rPr>
        <w:t>Como país Parte de e</w:t>
      </w:r>
      <w:r>
        <w:rPr>
          <w:rFonts w:ascii="Times New Roman" w:hAnsi="Times New Roman"/>
          <w:sz w:val="24"/>
          <w:szCs w:val="24"/>
        </w:rPr>
        <w:t>ste Convenio</w:t>
      </w:r>
      <w:hyperlink r:id="rId6" w:anchor="m_-598919511913057761_m_-4555648300125800725_sdfootnote1sym" w:history="1">
        <w:r>
          <w:rPr>
            <w:rStyle w:val="EnlacedeInternet"/>
            <w:rFonts w:ascii="Times New Roman" w:hAnsi="Times New Roman"/>
            <w:color w:val="0563C1"/>
            <w:position w:val="7"/>
            <w:sz w:val="24"/>
            <w:szCs w:val="24"/>
          </w:rPr>
          <w:t>1</w:t>
        </w:r>
      </w:hyperlink>
      <w:r>
        <w:rPr>
          <w:rFonts w:ascii="Times New Roman" w:hAnsi="Times New Roman"/>
          <w:sz w:val="24"/>
          <w:szCs w:val="24"/>
        </w:rPr>
        <w:t>, Chile declaró que estamos “Conscientes de los efectos perjudiciales para la salud humana y el medio ambiente de ciertos plaguicidas y productos químicos peligrosos objeto de comercio internacional” y manifestó a su vez su voluntad de “proteger la salud h</w:t>
      </w:r>
      <w:r>
        <w:rPr>
          <w:rFonts w:ascii="Times New Roman" w:hAnsi="Times New Roman"/>
          <w:sz w:val="24"/>
          <w:szCs w:val="24"/>
        </w:rPr>
        <w:t xml:space="preserve">umana, incluida la salud de los consumidores y los trabajadores, y el medio ambiente frente a los posibles efectos perjudiciales de ciertos plaguicidas y productos químicos.” </w:t>
      </w:r>
    </w:p>
    <w:p w14:paraId="67AFD172" w14:textId="77777777" w:rsidR="00E968D9" w:rsidRDefault="00934F4B">
      <w:pPr>
        <w:pStyle w:val="Textoindependiente"/>
        <w:spacing w:after="159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Convenio de Rotterdam en su Anexo 7.5.3, parte B, a través de su secretaría, </w:t>
      </w:r>
      <w:r>
        <w:rPr>
          <w:rFonts w:ascii="Times New Roman" w:hAnsi="Times New Roman"/>
          <w:sz w:val="24"/>
          <w:szCs w:val="24"/>
        </w:rPr>
        <w:t>puso a disposición de los gobiernos Formularios de notificación sobre las formulaciones de plaguicidas extremadamente peligrosos e Incidentes ambientales. Las secciones del formulario están destinadas, entre otros asuntos, a describir cómo fue usada la for</w:t>
      </w:r>
      <w:r>
        <w:rPr>
          <w:rFonts w:ascii="Times New Roman" w:hAnsi="Times New Roman"/>
          <w:sz w:val="24"/>
          <w:szCs w:val="24"/>
        </w:rPr>
        <w:t>mulación (plaguicida), el incidente, los efectos adversos, etc. También se indica que se debe hacer referencia a la mezcla que fue aplicada e identificar el/los organismos(s) animales, aves, invertebrados, por ej. abejas, vegetales, etc., afectado(s) negat</w:t>
      </w:r>
      <w:r>
        <w:rPr>
          <w:rFonts w:ascii="Times New Roman" w:hAnsi="Times New Roman"/>
          <w:sz w:val="24"/>
          <w:szCs w:val="24"/>
        </w:rPr>
        <w:t>ivamente como consecuencia del incidente. La Sección 5 del formulario está destinada a la DESCRIPCIÓN DE LOS EFECTOS PERJUDICIALES. (Ver anexo 1) Sin embargo, Chile no está facilitando los mecanismos para recopilar esta información en coordinación con la c</w:t>
      </w:r>
      <w:r>
        <w:rPr>
          <w:rFonts w:ascii="Times New Roman" w:hAnsi="Times New Roman"/>
          <w:sz w:val="24"/>
          <w:szCs w:val="24"/>
        </w:rPr>
        <w:t xml:space="preserve">iudadanía, no está desplegando iniciativas para reportar sistemáticamente desde el aparato público ni tampoco está haciendo pública la información de la que dispone. </w:t>
      </w:r>
    </w:p>
    <w:p w14:paraId="5F02E6BE" w14:textId="77777777" w:rsidR="00E968D9" w:rsidRDefault="00934F4B">
      <w:pPr>
        <w:pStyle w:val="Textoindependiente"/>
        <w:spacing w:after="159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crisis sanitaria mundial de la COVID-19 ha dejado en evidencia que la salud y el biene</w:t>
      </w:r>
      <w:r>
        <w:rPr>
          <w:rFonts w:ascii="Times New Roman" w:hAnsi="Times New Roman"/>
          <w:sz w:val="24"/>
          <w:szCs w:val="24"/>
        </w:rPr>
        <w:t>star de nuestra sociedad están ligados a la salud de los ecosistemas que nos proporcionan servicios vitales como el agua, el aire, los alimentos e incluso las medicinas.</w:t>
      </w:r>
    </w:p>
    <w:p w14:paraId="0D5AE92F" w14:textId="77777777" w:rsidR="00E968D9" w:rsidRDefault="00934F4B">
      <w:pPr>
        <w:pStyle w:val="Textoindependiente"/>
        <w:spacing w:after="159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país no está cumpliendo con los compromisos legales, emanados de los convenios y ac</w:t>
      </w:r>
      <w:r>
        <w:rPr>
          <w:rFonts w:ascii="Times New Roman" w:hAnsi="Times New Roman"/>
          <w:sz w:val="24"/>
          <w:szCs w:val="24"/>
        </w:rPr>
        <w:t>uerdos internacionales y nacionales, por tanto, ni los ciudadanos ni los organismos públicos cuentan con información relevante que permita hacer ciencia, y contar con un diagnóstico actualizado para establecer políticas públicas preventivas con el fin de p</w:t>
      </w:r>
      <w:r>
        <w:rPr>
          <w:rFonts w:ascii="Times New Roman" w:hAnsi="Times New Roman"/>
          <w:sz w:val="24"/>
          <w:szCs w:val="24"/>
        </w:rPr>
        <w:t xml:space="preserve">roteger a nuestros animales y los ecosistemas. Ahora más que </w:t>
      </w:r>
      <w:r>
        <w:rPr>
          <w:rFonts w:ascii="Times New Roman" w:hAnsi="Times New Roman"/>
          <w:sz w:val="24"/>
          <w:szCs w:val="24"/>
        </w:rPr>
        <w:lastRenderedPageBreak/>
        <w:t>nunca, necesitamos mejorar de forma activa nuestra relación con la naturaleza; debemos actuar ahora para proteger a la fauna y flora y conservar y restaurar la vida silvestre.</w:t>
      </w:r>
    </w:p>
    <w:p w14:paraId="73B06199" w14:textId="77777777" w:rsidR="00E968D9" w:rsidRDefault="00934F4B">
      <w:pPr>
        <w:pStyle w:val="Textoindependiente"/>
        <w:spacing w:after="159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Por tanto, exigimos</w:t>
      </w:r>
      <w:r>
        <w:rPr>
          <w:rFonts w:ascii="Times New Roman" w:hAnsi="Times New Roman"/>
          <w:b/>
          <w:bCs/>
          <w:sz w:val="24"/>
          <w:szCs w:val="24"/>
        </w:rPr>
        <w:t xml:space="preserve"> al SAG:</w:t>
      </w:r>
    </w:p>
    <w:p w14:paraId="509D2D42" w14:textId="77777777" w:rsidR="00E968D9" w:rsidRDefault="00934F4B">
      <w:pPr>
        <w:pStyle w:val="Textoindependiente"/>
        <w:numPr>
          <w:ilvl w:val="0"/>
          <w:numId w:val="1"/>
        </w:numPr>
        <w:tabs>
          <w:tab w:val="left" w:pos="0"/>
        </w:tabs>
        <w:spacing w:after="159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Habilitar un mecanismo de denuncia efectiva disponible en línea, de fácil acceso, que permita recibir y monitorear reportes ciudadanos de daño sobre flora y fauna silvestre y animales domésticos, tal como les mandata el decreto N°158 del Ministeri</w:t>
      </w:r>
      <w:r>
        <w:rPr>
          <w:rFonts w:ascii="Times New Roman" w:hAnsi="Times New Roman"/>
          <w:sz w:val="24"/>
          <w:szCs w:val="24"/>
        </w:rPr>
        <w:t xml:space="preserve">o de Salud sobre aplicaciones terrestres y acorde con los compromisos internacionales contraídos. </w:t>
      </w:r>
    </w:p>
    <w:p w14:paraId="38DE0E6D" w14:textId="77777777" w:rsidR="00E968D9" w:rsidRDefault="00934F4B">
      <w:pPr>
        <w:pStyle w:val="Textoindependiente"/>
        <w:numPr>
          <w:ilvl w:val="0"/>
          <w:numId w:val="1"/>
        </w:numPr>
        <w:tabs>
          <w:tab w:val="left" w:pos="0"/>
        </w:tabs>
        <w:spacing w:after="159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Oficiar a los organismos pertinentes para que se cursen las sanciones que correspondan cada vez que sea procedente, de modo de dar señales a la ciudadanía de</w:t>
      </w:r>
      <w:r>
        <w:rPr>
          <w:rFonts w:ascii="Times New Roman" w:hAnsi="Times New Roman"/>
          <w:sz w:val="24"/>
          <w:szCs w:val="24"/>
        </w:rPr>
        <w:t xml:space="preserve"> que vale la pena denunciar. </w:t>
      </w:r>
    </w:p>
    <w:p w14:paraId="39DC3015" w14:textId="77777777" w:rsidR="00E968D9" w:rsidRDefault="00934F4B">
      <w:pPr>
        <w:pStyle w:val="Textoindependiente"/>
        <w:numPr>
          <w:ilvl w:val="0"/>
          <w:numId w:val="1"/>
        </w:numPr>
        <w:tabs>
          <w:tab w:val="left" w:pos="0"/>
        </w:tabs>
        <w:spacing w:after="159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Disponer de personal debidamente entrenado y capacitado en estas materias, en los servicios de atención telefónica y de correo electrónico actualmente existentes, y a la vez contar con recursos suficientes para </w:t>
      </w:r>
      <w:r>
        <w:rPr>
          <w:rFonts w:ascii="Times New Roman" w:hAnsi="Times New Roman"/>
          <w:sz w:val="24"/>
          <w:szCs w:val="24"/>
        </w:rPr>
        <w:t>asegurar que se monitoree y sistematice la información entregada por el público y por entidades públicas y privadas, de manera oportuna, exacta y transparente; con constancia de recepción y registro de la denuncia.</w:t>
      </w:r>
    </w:p>
    <w:p w14:paraId="4F2D7037" w14:textId="0B38CADC" w:rsidR="00E968D9" w:rsidRDefault="00934F4B">
      <w:pPr>
        <w:pStyle w:val="Textoindependiente"/>
        <w:tabs>
          <w:tab w:val="left" w:pos="0"/>
        </w:tabs>
        <w:spacing w:after="159" w:line="259" w:lineRule="auto"/>
        <w:ind w:left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Saludan atentamente, </w:t>
      </w:r>
    </w:p>
    <w:p w14:paraId="1CCB0AB4" w14:textId="1DC63061" w:rsidR="00934F4B" w:rsidRDefault="00934F4B">
      <w:pPr>
        <w:pStyle w:val="Textoindependiente"/>
        <w:tabs>
          <w:tab w:val="left" w:pos="0"/>
        </w:tabs>
        <w:spacing w:after="159" w:line="259" w:lineRule="auto"/>
        <w:ind w:left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Consuelo Infante</w:t>
      </w:r>
    </w:p>
    <w:p w14:paraId="573AB5C7" w14:textId="77E0C9C5" w:rsidR="00934F4B" w:rsidRDefault="00934F4B">
      <w:pPr>
        <w:pStyle w:val="Textoindependiente"/>
        <w:tabs>
          <w:tab w:val="left" w:pos="0"/>
        </w:tabs>
        <w:spacing w:after="159" w:line="259" w:lineRule="auto"/>
        <w:ind w:left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María Elena Rozas</w:t>
      </w:r>
    </w:p>
    <w:p w14:paraId="1D36DEFA" w14:textId="77777777" w:rsidR="00E968D9" w:rsidRDefault="00934F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Agrupación </w:t>
      </w:r>
      <w:proofErr w:type="spellStart"/>
      <w:r>
        <w:rPr>
          <w:rFonts w:ascii="Times New Roman" w:hAnsi="Times New Roman"/>
          <w:sz w:val="24"/>
          <w:szCs w:val="24"/>
        </w:rPr>
        <w:t>Apiflor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El Maqui, Monte Patria, región de Coquimbo</w:t>
      </w:r>
    </w:p>
    <w:p w14:paraId="5D14CCFF" w14:textId="77777777" w:rsidR="00E968D9" w:rsidRDefault="00934F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Asociación Apícola Monte Patria, región de Coquimbo</w:t>
      </w:r>
    </w:p>
    <w:p w14:paraId="02094AFA" w14:textId="77777777" w:rsidR="00E968D9" w:rsidRDefault="00934F4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Alikanto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Experience</w:t>
      </w:r>
      <w:proofErr w:type="spellEnd"/>
      <w:r>
        <w:rPr>
          <w:rFonts w:ascii="Times New Roman" w:hAnsi="Times New Roman"/>
          <w:sz w:val="24"/>
          <w:szCs w:val="24"/>
        </w:rPr>
        <w:t>, Monte Patria, región de Coquimbo</w:t>
      </w:r>
    </w:p>
    <w:p w14:paraId="398E015B" w14:textId="77777777" w:rsidR="00E968D9" w:rsidRDefault="00934F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Coordinadora Ambiental Valles en Movimiento, Monte Patria, región de Coquimbo</w:t>
      </w:r>
    </w:p>
    <w:p w14:paraId="17D6E42B" w14:textId="77777777" w:rsidR="00E968D9" w:rsidRDefault="00934F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Angelitos de la calle, Monte</w:t>
      </w:r>
      <w:r>
        <w:rPr>
          <w:rFonts w:ascii="Times New Roman" w:hAnsi="Times New Roman"/>
          <w:sz w:val="24"/>
          <w:szCs w:val="24"/>
        </w:rPr>
        <w:t xml:space="preserve"> Patria, región de Coquimbo</w:t>
      </w:r>
    </w:p>
    <w:p w14:paraId="29FC0383" w14:textId="77777777" w:rsidR="00E968D9" w:rsidRDefault="00934F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 de Acción en Plaguicidas de Chile, RAP-Chile.</w:t>
      </w:r>
    </w:p>
    <w:p w14:paraId="441F93C7" w14:textId="77777777" w:rsidR="00E968D9" w:rsidRDefault="00934F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Asociación Nacional de Mujeres Rurales e Indígenas, ANAMURI</w:t>
      </w:r>
    </w:p>
    <w:p w14:paraId="0A75154F" w14:textId="77777777" w:rsidR="00E968D9" w:rsidRDefault="00934F4B">
      <w:r>
        <w:rPr>
          <w:rFonts w:ascii="Times New Roman" w:hAnsi="Times New Roman"/>
          <w:sz w:val="24"/>
          <w:szCs w:val="24"/>
        </w:rPr>
        <w:t>Fundación Vegetarianos Hoy</w:t>
      </w:r>
    </w:p>
    <w:p w14:paraId="48BF2D46" w14:textId="77777777" w:rsidR="00E968D9" w:rsidRDefault="00934F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Observatorio Latinoamericano de Conflictos Ambientales, OLCA</w:t>
      </w:r>
    </w:p>
    <w:p w14:paraId="6938AB65" w14:textId="77777777" w:rsidR="00E968D9" w:rsidRDefault="00934F4B">
      <w:r>
        <w:rPr>
          <w:rFonts w:ascii="Times New Roman" w:hAnsi="Times New Roman"/>
          <w:sz w:val="24"/>
          <w:szCs w:val="24"/>
        </w:rPr>
        <w:t>Comité Ambiental Comunal de Pa</w:t>
      </w:r>
      <w:r>
        <w:rPr>
          <w:rFonts w:ascii="Times New Roman" w:hAnsi="Times New Roman"/>
          <w:sz w:val="24"/>
          <w:szCs w:val="24"/>
        </w:rPr>
        <w:t>ine, Región Metropolitana de Santiago</w:t>
      </w:r>
    </w:p>
    <w:p w14:paraId="3E144125" w14:textId="77777777" w:rsidR="00E968D9" w:rsidRDefault="00934F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Comité por la Defensa de Paine, Región Metropolitana de Santiago</w:t>
      </w:r>
    </w:p>
    <w:p w14:paraId="2A140128" w14:textId="77777777" w:rsidR="00E968D9" w:rsidRDefault="00934F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Sindicato de Trabajadores y Trabajadoras Independientes Águilas Campesinas, Paine, Región Metropolitana de Santiago</w:t>
      </w:r>
    </w:p>
    <w:p w14:paraId="5C7D37C4" w14:textId="77777777" w:rsidR="00E968D9" w:rsidRDefault="00934F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Coordinadora Ecológica de Casablanca,</w:t>
      </w:r>
      <w:r>
        <w:rPr>
          <w:rFonts w:ascii="Times New Roman" w:hAnsi="Times New Roman"/>
          <w:sz w:val="24"/>
          <w:szCs w:val="24"/>
        </w:rPr>
        <w:t xml:space="preserve"> región de Valparaíso</w:t>
      </w:r>
    </w:p>
    <w:p w14:paraId="4AD14B0B" w14:textId="77777777" w:rsidR="00E968D9" w:rsidRDefault="00934F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Asociación Mapuche Ad </w:t>
      </w:r>
      <w:proofErr w:type="spellStart"/>
      <w:r>
        <w:rPr>
          <w:rFonts w:ascii="Times New Roman" w:hAnsi="Times New Roman"/>
          <w:sz w:val="24"/>
          <w:szCs w:val="24"/>
        </w:rPr>
        <w:t>Kimvn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Walmapu</w:t>
      </w:r>
      <w:proofErr w:type="spellEnd"/>
      <w:r>
        <w:rPr>
          <w:rFonts w:ascii="Times New Roman" w:hAnsi="Times New Roman"/>
          <w:sz w:val="24"/>
          <w:szCs w:val="24"/>
        </w:rPr>
        <w:t>, región Sur</w:t>
      </w:r>
    </w:p>
    <w:p w14:paraId="5A38D3F7" w14:textId="77777777" w:rsidR="00E968D9" w:rsidRDefault="00E968D9">
      <w:pPr>
        <w:rPr>
          <w:rFonts w:ascii="Times New Roman" w:hAnsi="Times New Roman"/>
          <w:sz w:val="24"/>
          <w:szCs w:val="24"/>
        </w:rPr>
      </w:pPr>
    </w:p>
    <w:p w14:paraId="512884F2" w14:textId="77777777" w:rsidR="00E968D9" w:rsidRDefault="00934F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ANEXO </w:t>
      </w:r>
    </w:p>
    <w:p w14:paraId="1A810611" w14:textId="77777777" w:rsidR="00E968D9" w:rsidRDefault="00934F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Ejemplo de reporte de incidente en el ambiente</w:t>
      </w:r>
    </w:p>
    <w:p w14:paraId="62D27EF5" w14:textId="77777777" w:rsidR="00E968D9" w:rsidRDefault="00934F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CONVENIO DE ROTTERDAM </w:t>
      </w:r>
    </w:p>
    <w:p w14:paraId="405D7377" w14:textId="77777777" w:rsidR="00E968D9" w:rsidRDefault="00934F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ANEXO, PARTE B - FORMULARIO DE NOTIFICACIÓN DE INCIDENTES AMBIENTALES</w:t>
      </w:r>
    </w:p>
    <w:p w14:paraId="5C237CBD" w14:textId="77777777" w:rsidR="00E968D9" w:rsidRDefault="00934F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Nota: Si el incidente reportado está </w:t>
      </w:r>
      <w:r>
        <w:rPr>
          <w:rFonts w:ascii="Times New Roman" w:hAnsi="Times New Roman"/>
          <w:sz w:val="24"/>
          <w:szCs w:val="24"/>
        </w:rPr>
        <w:t>asociado con el uso de una mezcla de más de una formulación, la Sección 2 (Identidad del producto) deberá ser completada separadamente para cada una de las formulaciones. Las restantes Secciones del formulario que describen como fue usada la formulación, e</w:t>
      </w:r>
      <w:r>
        <w:rPr>
          <w:rFonts w:ascii="Times New Roman" w:hAnsi="Times New Roman"/>
          <w:sz w:val="24"/>
          <w:szCs w:val="24"/>
        </w:rPr>
        <w:t>l incidente, los efectos adversos, etc., se completarán solo una vez para cada incidente.</w:t>
      </w:r>
    </w:p>
    <w:p w14:paraId="587536B3" w14:textId="77777777" w:rsidR="00E968D9" w:rsidRDefault="00934F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hacer el formulario lo más sencillo posible, se usará el término formulación que se refiere al producto químico (herbicida, insecticida, etc.). Para aquellos inc</w:t>
      </w:r>
      <w:r>
        <w:rPr>
          <w:rFonts w:ascii="Times New Roman" w:hAnsi="Times New Roman"/>
          <w:sz w:val="24"/>
          <w:szCs w:val="24"/>
        </w:rPr>
        <w:t>identes donde haya más de una formulación implicada, se entiende que el uso de este término en las Secciones 4-7 hará referencia a la mezcla que fue aplicada.</w:t>
      </w:r>
    </w:p>
    <w:p w14:paraId="23C05B47" w14:textId="77777777" w:rsidR="00E968D9" w:rsidRDefault="00934F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SECCIÓN 5. DESCRIPCIÓN DE LOS EFECTOS PERJUDICIALES</w:t>
      </w:r>
    </w:p>
    <w:tbl>
      <w:tblPr>
        <w:tblW w:w="5000" w:type="pct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14"/>
        <w:gridCol w:w="9566"/>
      </w:tblGrid>
      <w:tr w:rsidR="00E968D9" w14:paraId="32AEBE58" w14:textId="77777777">
        <w:tc>
          <w:tcPr>
            <w:tcW w:w="514" w:type="dxa"/>
            <w:shd w:val="clear" w:color="auto" w:fill="auto"/>
          </w:tcPr>
          <w:p w14:paraId="257A7C00" w14:textId="77777777" w:rsidR="00E968D9" w:rsidRDefault="00934F4B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565" w:type="dxa"/>
            <w:shd w:val="clear" w:color="auto" w:fill="auto"/>
          </w:tcPr>
          <w:p w14:paraId="66F3D13B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Identifique el/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los </w:t>
            </w:r>
            <w:r>
              <w:rPr>
                <w:rFonts w:ascii="Times New Roman" w:hAnsi="Times New Roman"/>
                <w:sz w:val="24"/>
                <w:szCs w:val="24"/>
              </w:rPr>
              <w:t>organismo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(s) afectado(s) negativamente como consecuencia del incidente, incluyendo la cantidad de los mismos. Por favor sea lo más preciso posible (indíquense los nombres comunes y los científicos si es posible) y aporte toda la información posible. En el </w:t>
            </w:r>
            <w:r>
              <w:rPr>
                <w:rFonts w:ascii="Times New Roman" w:hAnsi="Times New Roman"/>
                <w:sz w:val="24"/>
                <w:szCs w:val="24"/>
              </w:rPr>
              <w:t>recuadro siguiente puede encontrar algunos ejemplos.</w:t>
            </w:r>
          </w:p>
        </w:tc>
      </w:tr>
    </w:tbl>
    <w:p w14:paraId="74C8FDBF" w14:textId="77777777" w:rsidR="00E968D9" w:rsidRDefault="00E968D9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72" w:type="dxa"/>
          <w:left w:w="57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592"/>
        <w:gridCol w:w="1724"/>
        <w:gridCol w:w="1816"/>
        <w:gridCol w:w="2575"/>
        <w:gridCol w:w="2343"/>
      </w:tblGrid>
      <w:tr w:rsidR="00E968D9" w14:paraId="42F0B59B" w14:textId="77777777"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BB890A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ESPECIES DE ANIMALES O PLANTAS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8519D3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NÚMERO O PROPORCIÓN DE ORGANISMOS AFECTADOS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3CA1A5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EDAD O ESTADO DE DESARROLLO (Ej. JUVENILES, LARVAS, HUEVAS-SEMILLA)</w:t>
            </w:r>
          </w:p>
        </w:tc>
        <w:tc>
          <w:tcPr>
            <w:tcW w:w="258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1229A8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OBSERVACIONES (Ej. MORFOLOGÍA ANORMAL O </w:t>
            </w:r>
            <w:r>
              <w:rPr>
                <w:rFonts w:ascii="Times New Roman" w:hAnsi="Times New Roman"/>
                <w:sz w:val="24"/>
                <w:szCs w:val="24"/>
              </w:rPr>
              <w:t>COMPORTAMIENTO, SÍNTOMAS TOXICOLÓGICOS)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4BD4EF64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TIEMPO DE DURACIÓN DE LOS EFECTOS (INCLUYENDO FECHA DE MUERTE O DE REHABILITACIÓN)</w:t>
            </w:r>
          </w:p>
        </w:tc>
      </w:tr>
      <w:tr w:rsidR="00E968D9" w14:paraId="216BC87D" w14:textId="77777777">
        <w:tc>
          <w:tcPr>
            <w:tcW w:w="100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2773D2D4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Ejemplos</w:t>
            </w:r>
          </w:p>
        </w:tc>
      </w:tr>
      <w:tr w:rsidR="00E968D9" w14:paraId="675452C7" w14:textId="77777777"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F72319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Vertebrados terrestres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p. ej., Bovinos domésticos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0A5F0F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ED8848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Adultos</w:t>
            </w:r>
          </w:p>
        </w:tc>
        <w:tc>
          <w:tcPr>
            <w:tcW w:w="258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921716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Salivación excesiva, pérdida del equilibrio, letargo.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408C743E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>
              <w:rPr>
                <w:rFonts w:ascii="Times New Roman" w:hAnsi="Times New Roman"/>
                <w:sz w:val="24"/>
                <w:szCs w:val="24"/>
              </w:rPr>
              <w:t>hay información</w:t>
            </w:r>
          </w:p>
        </w:tc>
      </w:tr>
      <w:tr w:rsidR="00E968D9" w14:paraId="21BF8F1C" w14:textId="77777777">
        <w:tc>
          <w:tcPr>
            <w:tcW w:w="16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F8777C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Aves 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p. ej., Cóndores</w:t>
            </w:r>
          </w:p>
          <w:p w14:paraId="5F0C85B2" w14:textId="77777777" w:rsidR="00E968D9" w:rsidRDefault="00934F4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Caranchos</w:t>
            </w:r>
          </w:p>
          <w:p w14:paraId="7E71D999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Tiuque 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B5BDE9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439340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Adultos y crías</w:t>
            </w:r>
          </w:p>
        </w:tc>
        <w:tc>
          <w:tcPr>
            <w:tcW w:w="258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4BE9D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Espuma en el pico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07C16800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Muertos el d/m/a</w:t>
            </w:r>
          </w:p>
        </w:tc>
      </w:tr>
      <w:tr w:rsidR="00E968D9" w14:paraId="617ABF7F" w14:textId="77777777">
        <w:tc>
          <w:tcPr>
            <w:tcW w:w="1601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E1E71C" w14:textId="77777777" w:rsidR="00E968D9" w:rsidRDefault="00E96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6BF105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0A0A1B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adultos</w:t>
            </w:r>
          </w:p>
        </w:tc>
        <w:tc>
          <w:tcPr>
            <w:tcW w:w="258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329DFB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Muertos 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9E35683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Muertos el d/m/a</w:t>
            </w:r>
          </w:p>
        </w:tc>
      </w:tr>
      <w:tr w:rsidR="00E968D9" w14:paraId="572F507F" w14:textId="77777777">
        <w:tc>
          <w:tcPr>
            <w:tcW w:w="1601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115828" w14:textId="77777777" w:rsidR="00E968D9" w:rsidRDefault="00E96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6FDB62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402B2D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adulto</w:t>
            </w:r>
          </w:p>
        </w:tc>
        <w:tc>
          <w:tcPr>
            <w:tcW w:w="258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C51864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Muerto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1B459344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Muerto el d/m/a</w:t>
            </w:r>
          </w:p>
        </w:tc>
      </w:tr>
      <w:tr w:rsidR="00E968D9" w14:paraId="762E0AC7" w14:textId="77777777"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300C33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Peces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p. ej., todas las especies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50E83A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Numerosos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E9E1E6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Todos los tamaños</w:t>
            </w:r>
          </w:p>
        </w:tc>
        <w:tc>
          <w:tcPr>
            <w:tcW w:w="258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8BEC73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Peces muertos a orillas del río por 3 km corriente abajo del área tratada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2AFAE4F3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hay información</w:t>
            </w:r>
          </w:p>
        </w:tc>
      </w:tr>
      <w:tr w:rsidR="00E968D9" w14:paraId="051427B0" w14:textId="77777777"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605F97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Invertebrados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p. ej., abejas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4001E5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colonias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956018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alimentan durante el periodo de máxima floración</w:t>
            </w:r>
          </w:p>
        </w:tc>
        <w:tc>
          <w:tcPr>
            <w:tcW w:w="258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945182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Colonias muertas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4B07CB6E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Todos los casos reportados 20 días después de la ap</w:t>
            </w:r>
            <w:r>
              <w:rPr>
                <w:rFonts w:ascii="Times New Roman" w:hAnsi="Times New Roman"/>
                <w:sz w:val="24"/>
                <w:szCs w:val="24"/>
              </w:rPr>
              <w:t>licación</w:t>
            </w:r>
          </w:p>
        </w:tc>
      </w:tr>
      <w:tr w:rsidR="00E968D9" w14:paraId="51EA1764" w14:textId="77777777"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432D8D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Vegetación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p. ej., pradera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377747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acres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E7BEC7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Floración</w:t>
            </w:r>
          </w:p>
        </w:tc>
        <w:tc>
          <w:tcPr>
            <w:tcW w:w="258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8EA5EC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Marchitamiento, de color amarillo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380091B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Parcelas muertas</w:t>
            </w:r>
          </w:p>
        </w:tc>
      </w:tr>
      <w:tr w:rsidR="00E968D9" w14:paraId="4EC13926" w14:textId="77777777"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903537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Aguas (ríos, canales, etc. 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56494F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Lugar 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473CBC" w14:textId="77777777" w:rsidR="00E968D9" w:rsidRDefault="00E96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F1B464" w14:textId="77777777" w:rsidR="00E968D9" w:rsidRDefault="00E96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1EA22DBC" w14:textId="77777777" w:rsidR="00E968D9" w:rsidRDefault="00E96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BA34F4" w14:textId="77777777" w:rsidR="00E968D9" w:rsidRDefault="00E968D9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618"/>
        <w:gridCol w:w="9462"/>
      </w:tblGrid>
      <w:tr w:rsidR="00E968D9" w14:paraId="56CF8731" w14:textId="77777777">
        <w:tc>
          <w:tcPr>
            <w:tcW w:w="618" w:type="dxa"/>
            <w:shd w:val="clear" w:color="auto" w:fill="auto"/>
          </w:tcPr>
          <w:p w14:paraId="338E5FCA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461" w:type="dxa"/>
            <w:shd w:val="clear" w:color="auto" w:fill="auto"/>
          </w:tcPr>
          <w:p w14:paraId="77FD987A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¿Había evidencia indirecta de extremo peligro a organismos no destinatarios (como decremento </w:t>
            </w:r>
            <w:r>
              <w:rPr>
                <w:rFonts w:ascii="Times New Roman" w:hAnsi="Times New Roman"/>
                <w:sz w:val="24"/>
                <w:szCs w:val="24"/>
              </w:rPr>
              <w:t>inesperado de la población, desaparición de ciertas especies en el área del incidente)?</w:t>
            </w:r>
          </w:p>
        </w:tc>
      </w:tr>
    </w:tbl>
    <w:p w14:paraId="72823AD7" w14:textId="77777777" w:rsidR="00E968D9" w:rsidRDefault="00E968D9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36"/>
        <w:gridCol w:w="1189"/>
        <w:gridCol w:w="8155"/>
      </w:tblGrid>
      <w:tr w:rsidR="00E968D9" w14:paraId="07066F85" w14:textId="77777777">
        <w:tc>
          <w:tcPr>
            <w:tcW w:w="736" w:type="dxa"/>
            <w:shd w:val="clear" w:color="auto" w:fill="auto"/>
          </w:tcPr>
          <w:p w14:paraId="0918345C" w14:textId="77777777" w:rsidR="00E968D9" w:rsidRDefault="00E96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009D506B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C7BCD5" wp14:editId="56A3F9EA">
                  <wp:extent cx="184150" cy="184150"/>
                  <wp:effectExtent l="0" t="0" r="0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8155" w:type="dxa"/>
            <w:shd w:val="clear" w:color="auto" w:fill="auto"/>
          </w:tcPr>
          <w:p w14:paraId="2E22C5AE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BB76B3C" wp14:editId="7699C5D8">
                  <wp:extent cx="184150" cy="184150"/>
                  <wp:effectExtent l="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Sí (Por favor describa estos efectos)</w:t>
            </w:r>
          </w:p>
        </w:tc>
      </w:tr>
      <w:tr w:rsidR="00E968D9" w14:paraId="620D1B70" w14:textId="77777777">
        <w:tc>
          <w:tcPr>
            <w:tcW w:w="100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CF0EEFD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E968D9" w14:paraId="38B73266" w14:textId="77777777">
        <w:tc>
          <w:tcPr>
            <w:tcW w:w="736" w:type="dxa"/>
            <w:shd w:val="clear" w:color="auto" w:fill="auto"/>
          </w:tcPr>
          <w:p w14:paraId="2BE290BC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344" w:type="dxa"/>
            <w:gridSpan w:val="2"/>
            <w:shd w:val="clear" w:color="auto" w:fill="auto"/>
          </w:tcPr>
          <w:p w14:paraId="2DD753D1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 favor proporcione cualquier otra información importante como:</w:t>
            </w:r>
          </w:p>
        </w:tc>
      </w:tr>
    </w:tbl>
    <w:p w14:paraId="671532BE" w14:textId="77777777" w:rsidR="00E968D9" w:rsidRDefault="00E968D9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629"/>
        <w:gridCol w:w="312"/>
        <w:gridCol w:w="9139"/>
      </w:tblGrid>
      <w:tr w:rsidR="00E968D9" w14:paraId="25C9262A" w14:textId="77777777">
        <w:tc>
          <w:tcPr>
            <w:tcW w:w="629" w:type="dxa"/>
            <w:shd w:val="clear" w:color="auto" w:fill="auto"/>
          </w:tcPr>
          <w:p w14:paraId="33488C00" w14:textId="77777777" w:rsidR="00E968D9" w:rsidRDefault="00E96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012FA1D6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</w:t>
            </w:r>
          </w:p>
        </w:tc>
        <w:tc>
          <w:tcPr>
            <w:tcW w:w="9139" w:type="dxa"/>
            <w:shd w:val="clear" w:color="auto" w:fill="auto"/>
          </w:tcPr>
          <w:p w14:paraId="1B604D4F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conexión entre el uso de la </w:t>
            </w:r>
            <w:r>
              <w:rPr>
                <w:rFonts w:ascii="Times New Roman" w:hAnsi="Times New Roman"/>
                <w:sz w:val="24"/>
                <w:szCs w:val="24"/>
              </w:rPr>
              <w:t>formulación (plaguicida) (Sección 4) y los efectos observados en los organismos no destinatarios (pregunta 26).</w:t>
            </w:r>
          </w:p>
          <w:p w14:paraId="58829CE0" w14:textId="77777777" w:rsidR="00E968D9" w:rsidRDefault="0093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Formulario completo en:  http://www.fao.org/3/y5423s/y5423s0a.htm</w:t>
            </w:r>
          </w:p>
        </w:tc>
      </w:tr>
    </w:tbl>
    <w:p w14:paraId="30C9E0E4" w14:textId="77777777" w:rsidR="00E968D9" w:rsidRDefault="00E968D9">
      <w:pPr>
        <w:rPr>
          <w:rFonts w:ascii="Times New Roman" w:hAnsi="Times New Roman"/>
          <w:sz w:val="24"/>
          <w:szCs w:val="24"/>
        </w:rPr>
      </w:pPr>
    </w:p>
    <w:p w14:paraId="4BC5572E" w14:textId="77777777" w:rsidR="00E968D9" w:rsidRDefault="00934F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Contactos:</w:t>
      </w:r>
    </w:p>
    <w:p w14:paraId="6CAE5D12" w14:textId="77777777" w:rsidR="00E968D9" w:rsidRDefault="00934F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Consuelo Infante: 975112735 / consuelo.infante@gmail.com</w:t>
      </w:r>
    </w:p>
    <w:p w14:paraId="783561D0" w14:textId="77777777" w:rsidR="00E968D9" w:rsidRDefault="00934F4B">
      <w:r>
        <w:rPr>
          <w:rFonts w:ascii="Times New Roman" w:hAnsi="Times New Roman"/>
          <w:sz w:val="24"/>
          <w:szCs w:val="24"/>
        </w:rPr>
        <w:t>María El</w:t>
      </w:r>
      <w:r>
        <w:rPr>
          <w:rFonts w:ascii="Times New Roman" w:hAnsi="Times New Roman"/>
          <w:sz w:val="24"/>
          <w:szCs w:val="24"/>
        </w:rPr>
        <w:t xml:space="preserve">ena Roza: 998858227  </w:t>
      </w:r>
      <w:hyperlink r:id="rId8">
        <w:r>
          <w:rPr>
            <w:rStyle w:val="EnlacedeInternet"/>
            <w:rFonts w:ascii="Times New Roman" w:hAnsi="Times New Roman"/>
            <w:sz w:val="24"/>
            <w:szCs w:val="24"/>
          </w:rPr>
          <w:t>rap-al@terra.cl</w:t>
        </w:r>
      </w:hyperlink>
      <w:r>
        <w:rPr>
          <w:rFonts w:ascii="Times New Roman" w:hAnsi="Times New Roman"/>
          <w:sz w:val="24"/>
          <w:szCs w:val="24"/>
        </w:rPr>
        <w:t xml:space="preserve"> /Red de Acción en Plaguicidas de Chile, RAP-Chile</w:t>
      </w:r>
    </w:p>
    <w:p w14:paraId="32F66685" w14:textId="77777777" w:rsidR="00E968D9" w:rsidRDefault="00934F4B">
      <w:r>
        <w:rPr>
          <w:rFonts w:ascii="Times New Roman" w:hAnsi="Times New Roman"/>
          <w:sz w:val="24"/>
          <w:szCs w:val="24"/>
        </w:rPr>
        <w:t>Alonso de Ovalle 1618, oficina A, Santiago Centro</w:t>
      </w:r>
    </w:p>
    <w:sectPr w:rsidR="00E968D9">
      <w:pgSz w:w="12240" w:h="15840"/>
      <w:pgMar w:top="1440" w:right="1080" w:bottom="1440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;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A4F7E"/>
    <w:multiLevelType w:val="multilevel"/>
    <w:tmpl w:val="A1604BCC"/>
    <w:lvl w:ilvl="0">
      <w:start w:val="1"/>
      <w:numFmt w:val="upperLetter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292366C0"/>
    <w:multiLevelType w:val="multilevel"/>
    <w:tmpl w:val="567E97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D9"/>
    <w:rsid w:val="00934F4B"/>
    <w:rsid w:val="00E9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0179"/>
  <w15:docId w15:val="{9AE5A1AB-6879-45DD-A420-F8F37091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9B6A7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DD0D9A"/>
    <w:rPr>
      <w:color w:val="605E5C"/>
      <w:shd w:val="clear" w:color="auto" w:fill="E1DFDD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BF3CD0"/>
    <w:rPr>
      <w:sz w:val="20"/>
      <w:szCs w:val="20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BF3CD0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14238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42388"/>
  </w:style>
  <w:style w:type="character" w:customStyle="1" w:styleId="Caracteresdenotaalpie">
    <w:name w:val="Caracteres de nota al pie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ListLabel1">
    <w:name w:val="ListLabel 1"/>
    <w:qFormat/>
    <w:rPr>
      <w:rFonts w:ascii="Arial Narrow;serif" w:hAnsi="Arial Narrow;serif"/>
      <w:b/>
      <w:color w:val="0563C1"/>
      <w:sz w:val="18"/>
    </w:rPr>
  </w:style>
  <w:style w:type="character" w:customStyle="1" w:styleId="ListLabel2">
    <w:name w:val="ListLabel 2"/>
    <w:qFormat/>
    <w:rPr>
      <w:rFonts w:ascii="Arial Narrow;serif" w:hAnsi="Arial Narrow;serif"/>
      <w:b/>
      <w:color w:val="0563C1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B6A7C"/>
    <w:rPr>
      <w:rFonts w:ascii="Segoe UI" w:hAnsi="Segoe UI" w:cs="Segoe UI"/>
      <w:sz w:val="18"/>
      <w:szCs w:val="18"/>
    </w:rPr>
  </w:style>
  <w:style w:type="character" w:customStyle="1" w:styleId="ListLabel3">
    <w:name w:val="ListLabel 3"/>
    <w:qFormat/>
    <w:rPr>
      <w:rFonts w:ascii="Times New Roman" w:hAnsi="Times New Roman"/>
      <w:color w:val="0563C1"/>
      <w:position w:val="7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/>
      <w:sz w:val="24"/>
      <w:szCs w:val="24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F3CD0"/>
    <w:pPr>
      <w:spacing w:after="0" w:line="240" w:lineRule="auto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9C61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2388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142388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B6A7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-al@terra.cl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google.com/mail/u/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184C6-31C1-4423-AD72-295A465D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1926</Words>
  <Characters>10596</Characters>
  <Application>Microsoft Office Word</Application>
  <DocSecurity>0</DocSecurity>
  <Lines>88</Lines>
  <Paragraphs>24</Paragraphs>
  <ScaleCrop>false</ScaleCrop>
  <Company/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Rozas</dc:creator>
  <dc:description/>
  <cp:lastModifiedBy>Maria Elena Rozas</cp:lastModifiedBy>
  <cp:revision>2</cp:revision>
  <dcterms:created xsi:type="dcterms:W3CDTF">2020-10-21T12:56:00Z</dcterms:created>
  <dcterms:modified xsi:type="dcterms:W3CDTF">2020-10-21T12:56:00Z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